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196" w:rsidRDefault="00B83196">
      <w:pPr>
        <w:jc w:val="center"/>
        <w:rPr>
          <w:rFonts w:ascii="黑体" w:eastAsia="黑体"/>
          <w:b/>
          <w:sz w:val="44"/>
          <w:szCs w:val="44"/>
        </w:rPr>
      </w:pPr>
    </w:p>
    <w:p w:rsidR="00B83196" w:rsidRDefault="003673DE"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乐山师范学院特殊教育学院</w:t>
      </w:r>
    </w:p>
    <w:p w:rsidR="00B83196" w:rsidRDefault="00B83196">
      <w:pPr>
        <w:jc w:val="center"/>
        <w:rPr>
          <w:rFonts w:ascii="楷体_GB2312" w:eastAsia="楷体_GB2312"/>
          <w:b/>
          <w:sz w:val="44"/>
          <w:szCs w:val="44"/>
        </w:rPr>
      </w:pPr>
    </w:p>
    <w:p w:rsidR="00B83196" w:rsidRDefault="00B83196">
      <w:pPr>
        <w:jc w:val="center"/>
        <w:rPr>
          <w:rFonts w:ascii="楷体_GB2312" w:eastAsia="楷体_GB2312"/>
          <w:b/>
          <w:sz w:val="44"/>
          <w:szCs w:val="44"/>
        </w:rPr>
      </w:pPr>
    </w:p>
    <w:p w:rsidR="00B83196" w:rsidRDefault="003673DE">
      <w:pPr>
        <w:jc w:val="center"/>
        <w:rPr>
          <w:rFonts w:ascii="楷体_GB2312" w:eastAsia="楷体_GB2312"/>
          <w:b/>
          <w:sz w:val="72"/>
          <w:szCs w:val="72"/>
        </w:rPr>
      </w:pPr>
      <w:r>
        <w:rPr>
          <w:rFonts w:ascii="楷体_GB2312" w:eastAsia="楷体_GB2312" w:hint="eastAsia"/>
          <w:b/>
          <w:sz w:val="72"/>
          <w:szCs w:val="72"/>
        </w:rPr>
        <w:t>课程考试方案</w:t>
      </w:r>
    </w:p>
    <w:p w:rsidR="00B83196" w:rsidRDefault="00B83196">
      <w:pPr>
        <w:jc w:val="center"/>
        <w:rPr>
          <w:rFonts w:ascii="楷体_GB2312" w:eastAsia="楷体_GB2312"/>
          <w:b/>
          <w:sz w:val="44"/>
          <w:szCs w:val="44"/>
        </w:rPr>
      </w:pPr>
    </w:p>
    <w:p w:rsidR="00B83196" w:rsidRDefault="00B83196">
      <w:pPr>
        <w:jc w:val="center"/>
        <w:rPr>
          <w:rFonts w:ascii="楷体_GB2312" w:eastAsia="楷体_GB2312"/>
          <w:b/>
          <w:sz w:val="44"/>
          <w:szCs w:val="44"/>
        </w:rPr>
      </w:pPr>
    </w:p>
    <w:p w:rsidR="00B83196" w:rsidRDefault="00B83196">
      <w:pPr>
        <w:pStyle w:val="a4"/>
        <w:jc w:val="both"/>
        <w:rPr>
          <w:rFonts w:ascii="楷体_GB2312" w:eastAsia="楷体_GB2312"/>
          <w:b/>
          <w:sz w:val="28"/>
          <w:szCs w:val="28"/>
        </w:rPr>
      </w:pPr>
    </w:p>
    <w:p w:rsidR="00B83196" w:rsidRDefault="00B83196">
      <w:pPr>
        <w:pStyle w:val="a4"/>
        <w:jc w:val="both"/>
        <w:rPr>
          <w:rFonts w:ascii="楷体_GB2312" w:eastAsia="楷体_GB2312"/>
          <w:b/>
          <w:sz w:val="28"/>
          <w:szCs w:val="28"/>
        </w:rPr>
      </w:pPr>
    </w:p>
    <w:tbl>
      <w:tblPr>
        <w:tblW w:w="5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6"/>
        <w:gridCol w:w="3244"/>
      </w:tblGrid>
      <w:tr w:rsidR="00B83196">
        <w:trPr>
          <w:jc w:val="center"/>
        </w:trPr>
        <w:tc>
          <w:tcPr>
            <w:tcW w:w="1896" w:type="dxa"/>
          </w:tcPr>
          <w:p w:rsidR="00B83196" w:rsidRDefault="003673DE"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开课学院</w:t>
            </w:r>
          </w:p>
        </w:tc>
        <w:tc>
          <w:tcPr>
            <w:tcW w:w="3244" w:type="dxa"/>
          </w:tcPr>
          <w:p w:rsidR="00B83196" w:rsidRDefault="003673DE"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特殊教育学院</w:t>
            </w:r>
          </w:p>
        </w:tc>
      </w:tr>
      <w:tr w:rsidR="00B83196">
        <w:trPr>
          <w:jc w:val="center"/>
        </w:trPr>
        <w:tc>
          <w:tcPr>
            <w:tcW w:w="1896" w:type="dxa"/>
          </w:tcPr>
          <w:p w:rsidR="00B83196" w:rsidRDefault="003673DE"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课程名称</w:t>
            </w:r>
          </w:p>
        </w:tc>
        <w:tc>
          <w:tcPr>
            <w:tcW w:w="3244" w:type="dxa"/>
          </w:tcPr>
          <w:p w:rsidR="00B83196" w:rsidRDefault="003673DE"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特殊儿童语言治疗</w:t>
            </w:r>
          </w:p>
        </w:tc>
      </w:tr>
      <w:tr w:rsidR="00B83196">
        <w:trPr>
          <w:jc w:val="center"/>
        </w:trPr>
        <w:tc>
          <w:tcPr>
            <w:tcW w:w="1896" w:type="dxa"/>
          </w:tcPr>
          <w:p w:rsidR="00B83196" w:rsidRDefault="003673DE"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课程学分</w:t>
            </w:r>
          </w:p>
        </w:tc>
        <w:tc>
          <w:tcPr>
            <w:tcW w:w="3244" w:type="dxa"/>
          </w:tcPr>
          <w:p w:rsidR="00B83196" w:rsidRDefault="003673DE"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2</w:t>
            </w:r>
          </w:p>
        </w:tc>
      </w:tr>
      <w:tr w:rsidR="00B83196">
        <w:trPr>
          <w:jc w:val="center"/>
        </w:trPr>
        <w:tc>
          <w:tcPr>
            <w:tcW w:w="1896" w:type="dxa"/>
          </w:tcPr>
          <w:p w:rsidR="00B83196" w:rsidRDefault="003673DE"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授课教师</w:t>
            </w:r>
          </w:p>
        </w:tc>
        <w:tc>
          <w:tcPr>
            <w:tcW w:w="3244" w:type="dxa"/>
          </w:tcPr>
          <w:p w:rsidR="00B83196" w:rsidRDefault="003673DE">
            <w:pPr>
              <w:rPr>
                <w:rFonts w:ascii="黑体" w:eastAsia="黑体"/>
                <w:sz w:val="30"/>
                <w:szCs w:val="30"/>
              </w:rPr>
            </w:pPr>
            <w:proofErr w:type="gramStart"/>
            <w:r>
              <w:rPr>
                <w:rFonts w:ascii="黑体" w:eastAsia="黑体" w:hint="eastAsia"/>
                <w:sz w:val="30"/>
                <w:szCs w:val="30"/>
              </w:rPr>
              <w:t>段玄锋</w:t>
            </w:r>
            <w:proofErr w:type="gramEnd"/>
          </w:p>
        </w:tc>
      </w:tr>
      <w:tr w:rsidR="00B83196">
        <w:trPr>
          <w:jc w:val="center"/>
        </w:trPr>
        <w:tc>
          <w:tcPr>
            <w:tcW w:w="1896" w:type="dxa"/>
          </w:tcPr>
          <w:p w:rsidR="00B83196" w:rsidRDefault="003673DE"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考试对象</w:t>
            </w:r>
          </w:p>
        </w:tc>
        <w:tc>
          <w:tcPr>
            <w:tcW w:w="3244" w:type="dxa"/>
          </w:tcPr>
          <w:p w:rsidR="00B83196" w:rsidRDefault="003673DE"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16级特教1、2班</w:t>
            </w:r>
          </w:p>
        </w:tc>
      </w:tr>
      <w:tr w:rsidR="00B83196">
        <w:trPr>
          <w:jc w:val="center"/>
        </w:trPr>
        <w:tc>
          <w:tcPr>
            <w:tcW w:w="1896" w:type="dxa"/>
          </w:tcPr>
          <w:p w:rsidR="00B83196" w:rsidRDefault="003673DE"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考试形式</w:t>
            </w:r>
          </w:p>
        </w:tc>
        <w:tc>
          <w:tcPr>
            <w:tcW w:w="3244" w:type="dxa"/>
          </w:tcPr>
          <w:p w:rsidR="00B83196" w:rsidRDefault="003673DE"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技能考试</w:t>
            </w:r>
          </w:p>
        </w:tc>
      </w:tr>
      <w:tr w:rsidR="00B83196">
        <w:trPr>
          <w:jc w:val="center"/>
        </w:trPr>
        <w:tc>
          <w:tcPr>
            <w:tcW w:w="1896" w:type="dxa"/>
          </w:tcPr>
          <w:p w:rsidR="00B83196" w:rsidRDefault="003673DE"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考试时间</w:t>
            </w:r>
          </w:p>
        </w:tc>
        <w:tc>
          <w:tcPr>
            <w:tcW w:w="3244" w:type="dxa"/>
          </w:tcPr>
          <w:p w:rsidR="00B83196" w:rsidRDefault="00B83196">
            <w:pPr>
              <w:rPr>
                <w:rFonts w:ascii="黑体" w:eastAsia="黑体"/>
                <w:sz w:val="30"/>
                <w:szCs w:val="30"/>
              </w:rPr>
            </w:pPr>
          </w:p>
        </w:tc>
      </w:tr>
      <w:tr w:rsidR="00B83196">
        <w:trPr>
          <w:jc w:val="center"/>
        </w:trPr>
        <w:tc>
          <w:tcPr>
            <w:tcW w:w="1896" w:type="dxa"/>
          </w:tcPr>
          <w:p w:rsidR="00B83196" w:rsidRDefault="003673DE"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考试地点</w:t>
            </w:r>
          </w:p>
        </w:tc>
        <w:tc>
          <w:tcPr>
            <w:tcW w:w="3244" w:type="dxa"/>
          </w:tcPr>
          <w:p w:rsidR="00B83196" w:rsidRDefault="00B83196">
            <w:pPr>
              <w:rPr>
                <w:rFonts w:ascii="黑体" w:eastAsia="黑体"/>
                <w:sz w:val="30"/>
                <w:szCs w:val="30"/>
              </w:rPr>
            </w:pPr>
          </w:p>
        </w:tc>
      </w:tr>
    </w:tbl>
    <w:p w:rsidR="00B83196" w:rsidRDefault="00B83196">
      <w:pPr>
        <w:spacing w:line="700" w:lineRule="exact"/>
        <w:rPr>
          <w:rFonts w:ascii="黑体" w:eastAsia="黑体"/>
          <w:sz w:val="30"/>
          <w:szCs w:val="30"/>
        </w:rPr>
      </w:pPr>
    </w:p>
    <w:p w:rsidR="00B83196" w:rsidRDefault="00B83196">
      <w:pPr>
        <w:spacing w:line="700" w:lineRule="exact"/>
        <w:rPr>
          <w:rFonts w:ascii="黑体" w:eastAsia="黑体"/>
          <w:sz w:val="30"/>
          <w:szCs w:val="30"/>
        </w:rPr>
      </w:pPr>
    </w:p>
    <w:p w:rsidR="00B83196" w:rsidRDefault="00B83196">
      <w:pPr>
        <w:spacing w:line="700" w:lineRule="exact"/>
        <w:rPr>
          <w:rFonts w:ascii="黑体" w:eastAsia="黑体"/>
          <w:sz w:val="30"/>
          <w:szCs w:val="30"/>
        </w:rPr>
      </w:pPr>
    </w:p>
    <w:p w:rsidR="00B83196" w:rsidRDefault="003673DE">
      <w:pPr>
        <w:jc w:val="center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20</w:t>
      </w:r>
      <w:r>
        <w:rPr>
          <w:rFonts w:ascii="楷体_GB2312" w:eastAsia="楷体_GB2312" w:hint="eastAsia"/>
          <w:b/>
          <w:sz w:val="32"/>
          <w:szCs w:val="32"/>
          <w:u w:val="single"/>
        </w:rPr>
        <w:t xml:space="preserve"> 18</w:t>
      </w:r>
      <w:r>
        <w:rPr>
          <w:rFonts w:ascii="楷体_GB2312" w:eastAsia="楷体_GB2312" w:hint="eastAsia"/>
          <w:b/>
          <w:sz w:val="32"/>
          <w:szCs w:val="32"/>
        </w:rPr>
        <w:t>-20</w:t>
      </w:r>
      <w:r>
        <w:rPr>
          <w:rFonts w:ascii="楷体_GB2312" w:eastAsia="楷体_GB2312" w:hint="eastAsia"/>
          <w:b/>
          <w:sz w:val="32"/>
          <w:szCs w:val="32"/>
          <w:u w:val="single"/>
        </w:rPr>
        <w:t xml:space="preserve"> 19</w:t>
      </w:r>
      <w:r>
        <w:rPr>
          <w:rFonts w:ascii="楷体_GB2312" w:eastAsia="楷体_GB2312" w:hint="eastAsia"/>
          <w:b/>
          <w:sz w:val="32"/>
          <w:szCs w:val="32"/>
        </w:rPr>
        <w:t>学年度第</w:t>
      </w:r>
      <w:r>
        <w:rPr>
          <w:rFonts w:ascii="楷体_GB2312" w:eastAsia="楷体_GB2312" w:hint="eastAsia"/>
          <w:b/>
          <w:sz w:val="32"/>
          <w:szCs w:val="32"/>
          <w:u w:val="single"/>
        </w:rPr>
        <w:t>1</w:t>
      </w:r>
      <w:r>
        <w:rPr>
          <w:rFonts w:ascii="楷体_GB2312" w:eastAsia="楷体_GB2312" w:hint="eastAsia"/>
          <w:b/>
          <w:sz w:val="32"/>
          <w:szCs w:val="32"/>
        </w:rPr>
        <w:t>学期</w:t>
      </w:r>
    </w:p>
    <w:p w:rsidR="00B83196" w:rsidRDefault="00B83196">
      <w:pPr>
        <w:spacing w:line="700" w:lineRule="exact"/>
        <w:rPr>
          <w:rFonts w:ascii="黑体" w:eastAsia="黑体"/>
          <w:sz w:val="30"/>
          <w:szCs w:val="30"/>
        </w:rPr>
      </w:pPr>
    </w:p>
    <w:p w:rsidR="00B83196" w:rsidRDefault="003673DE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lastRenderedPageBreak/>
        <w:t>一、课程特点</w:t>
      </w:r>
    </w:p>
    <w:p w:rsidR="00B83196" w:rsidRDefault="003673DE">
      <w:pPr>
        <w:spacing w:line="500" w:lineRule="exact"/>
        <w:ind w:firstLineChars="200" w:firstLine="480"/>
        <w:jc w:val="left"/>
        <w:rPr>
          <w:rFonts w:ascii="宋体" w:cs="Times New Roman"/>
          <w:sz w:val="24"/>
        </w:rPr>
      </w:pPr>
      <w:r>
        <w:rPr>
          <w:rFonts w:ascii="宋体" w:cs="Times New Roman" w:hint="eastAsia"/>
          <w:sz w:val="24"/>
        </w:rPr>
        <w:t>特殊儿童语言治疗作为特殊教育专业一门专业核心课程。其目的在于通过理论学习和</w:t>
      </w:r>
      <w:proofErr w:type="gramStart"/>
      <w:r>
        <w:rPr>
          <w:rFonts w:ascii="宋体" w:cs="Times New Roman" w:hint="eastAsia"/>
          <w:sz w:val="24"/>
        </w:rPr>
        <w:t>实训让学生</w:t>
      </w:r>
      <w:proofErr w:type="gramEnd"/>
      <w:r>
        <w:rPr>
          <w:rFonts w:ascii="宋体" w:cs="Times New Roman" w:hint="eastAsia"/>
          <w:sz w:val="24"/>
        </w:rPr>
        <w:t>掌握语言治疗的基础理论知识与操作技能，能承担特殊儿童的语言</w:t>
      </w:r>
      <w:proofErr w:type="gramStart"/>
      <w:r>
        <w:rPr>
          <w:rFonts w:ascii="宋体" w:cs="Times New Roman" w:hint="eastAsia"/>
          <w:sz w:val="24"/>
        </w:rPr>
        <w:t>治疗个训和</w:t>
      </w:r>
      <w:proofErr w:type="gramEnd"/>
      <w:r>
        <w:rPr>
          <w:rFonts w:ascii="宋体" w:cs="Times New Roman" w:hint="eastAsia"/>
          <w:sz w:val="24"/>
        </w:rPr>
        <w:t>集体教学。具体包括：第一、构音、语畅、嗓音障碍之评估与治疗；第二、语言理解、表达障碍之评估与治疗；第三、沟通障碍辅助系统使用之评估与训练；第四、语言发展迟缓之评估与治疗；第五、听力、言语、语言功能之仪器操作。</w:t>
      </w:r>
    </w:p>
    <w:p w:rsidR="00B83196" w:rsidRDefault="003673DE">
      <w:pPr>
        <w:spacing w:line="500" w:lineRule="exact"/>
        <w:ind w:firstLineChars="200" w:firstLine="480"/>
        <w:jc w:val="left"/>
        <w:rPr>
          <w:rFonts w:ascii="宋体" w:cs="Times New Roman"/>
          <w:sz w:val="24"/>
        </w:rPr>
      </w:pPr>
      <w:r>
        <w:rPr>
          <w:rFonts w:ascii="宋体" w:cs="Times New Roman" w:hint="eastAsia"/>
          <w:sz w:val="24"/>
        </w:rPr>
        <w:t>课程要求与任务：</w:t>
      </w:r>
    </w:p>
    <w:p w:rsidR="00B83196" w:rsidRDefault="003673DE">
      <w:pPr>
        <w:spacing w:line="500" w:lineRule="exact"/>
        <w:ind w:firstLineChars="200" w:firstLine="480"/>
        <w:jc w:val="left"/>
        <w:rPr>
          <w:rFonts w:ascii="宋体" w:cs="Times New Roman"/>
          <w:sz w:val="24"/>
        </w:rPr>
      </w:pPr>
      <w:r>
        <w:rPr>
          <w:rFonts w:ascii="宋体" w:cs="Times New Roman" w:hint="eastAsia"/>
          <w:sz w:val="24"/>
        </w:rPr>
        <w:t>1、明确学习目的任务。引导学生完整准确地掌握基本概念、发展规律和特征，促进学生对语言障碍的教育有一个整体的概念，并能结合实际对特殊儿童进行语言评估和治疗。</w:t>
      </w:r>
    </w:p>
    <w:p w:rsidR="00B83196" w:rsidRDefault="003673DE">
      <w:pPr>
        <w:spacing w:line="500" w:lineRule="exact"/>
        <w:ind w:firstLineChars="200" w:firstLine="480"/>
        <w:jc w:val="left"/>
        <w:rPr>
          <w:rFonts w:ascii="宋体" w:cs="Times New Roman"/>
          <w:sz w:val="24"/>
        </w:rPr>
      </w:pPr>
      <w:r>
        <w:rPr>
          <w:rFonts w:ascii="宋体" w:cs="Times New Roman" w:hint="eastAsia"/>
          <w:sz w:val="24"/>
        </w:rPr>
        <w:t>2、认真做好指导学生的课前预习。课堂教学以讲授为主，辅以适当的练习和讨论等，在课堂讲授中，注意加强讲解的广度和深度，注重讲授和讨论的有机结合。课后要督促学生及时、系统地进行复习，完成一定的书面作业和一定的实践活动，按时批改，及时反馈。</w:t>
      </w:r>
    </w:p>
    <w:p w:rsidR="00B83196" w:rsidRDefault="003673DE">
      <w:pPr>
        <w:spacing w:line="500" w:lineRule="exact"/>
        <w:ind w:firstLineChars="200" w:firstLine="480"/>
        <w:jc w:val="left"/>
        <w:rPr>
          <w:rFonts w:ascii="宋体" w:cs="Times New Roman"/>
          <w:sz w:val="24"/>
        </w:rPr>
      </w:pPr>
      <w:r>
        <w:rPr>
          <w:rFonts w:ascii="宋体" w:cs="Times New Roman" w:hint="eastAsia"/>
          <w:sz w:val="24"/>
        </w:rPr>
        <w:t>3、加强实践活动，如案例分析，学生试讲等。不断提高教育工作的科学性和效率，培养学生分析和解决实际问题的能力。</w:t>
      </w:r>
    </w:p>
    <w:p w:rsidR="00B83196" w:rsidRDefault="003673DE">
      <w:pPr>
        <w:spacing w:line="500" w:lineRule="exact"/>
        <w:ind w:firstLineChars="200" w:firstLine="480"/>
        <w:jc w:val="left"/>
        <w:rPr>
          <w:rFonts w:ascii="宋体" w:cs="Times New Roman"/>
          <w:sz w:val="24"/>
        </w:rPr>
      </w:pPr>
      <w:r>
        <w:rPr>
          <w:rFonts w:ascii="宋体" w:cs="Times New Roman" w:hint="eastAsia"/>
          <w:sz w:val="24"/>
        </w:rPr>
        <w:t>4、成绩考核注重平时考查（包括平时作业、实验实训、课堂讨论发言等）和期末考查相结合的原则。</w:t>
      </w:r>
    </w:p>
    <w:p w:rsidR="00B83196" w:rsidRDefault="003673DE">
      <w:pPr>
        <w:spacing w:line="360" w:lineRule="auto"/>
        <w:ind w:firstLineChars="200" w:firstLine="480"/>
        <w:rPr>
          <w:sz w:val="24"/>
        </w:rPr>
      </w:pPr>
      <w:r>
        <w:rPr>
          <w:rFonts w:ascii="宋体" w:cs="Times New Roman" w:hint="eastAsia"/>
          <w:sz w:val="24"/>
        </w:rPr>
        <w:t>所以本课程考核方式将以实践为主，主要考核学生基于对语言治疗的理解之后的评估和训练技能。闭卷考试无法较好的反映学生的技能，因此申请本课程考核改革为技能考试。</w:t>
      </w:r>
    </w:p>
    <w:p w:rsidR="00B83196" w:rsidRDefault="003673DE">
      <w:pPr>
        <w:numPr>
          <w:ilvl w:val="0"/>
          <w:numId w:val="1"/>
        </w:numPr>
        <w:spacing w:line="360" w:lineRule="auto"/>
        <w:rPr>
          <w:rFonts w:ascii="仿宋_GB2312" w:eastAsia="仿宋_GB2312"/>
          <w:sz w:val="24"/>
        </w:rPr>
      </w:pPr>
      <w:r>
        <w:rPr>
          <w:rFonts w:ascii="黑体" w:eastAsia="黑体" w:hint="eastAsia"/>
          <w:sz w:val="24"/>
        </w:rPr>
        <w:t>考试内容</w:t>
      </w:r>
    </w:p>
    <w:p w:rsidR="00B83196" w:rsidRDefault="003673D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平时考查内容：</w:t>
      </w:r>
    </w:p>
    <w:tbl>
      <w:tblPr>
        <w:tblStyle w:val="a5"/>
        <w:tblW w:w="9827" w:type="dxa"/>
        <w:tblLayout w:type="fixed"/>
        <w:tblLook w:val="04A0"/>
      </w:tblPr>
      <w:tblGrid>
        <w:gridCol w:w="741"/>
        <w:gridCol w:w="1476"/>
        <w:gridCol w:w="4514"/>
        <w:gridCol w:w="864"/>
        <w:gridCol w:w="780"/>
        <w:gridCol w:w="720"/>
        <w:gridCol w:w="732"/>
      </w:tblGrid>
      <w:tr w:rsidR="00B83196">
        <w:tc>
          <w:tcPr>
            <w:tcW w:w="741" w:type="dxa"/>
          </w:tcPr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476" w:type="dxa"/>
          </w:tcPr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4514" w:type="dxa"/>
          </w:tcPr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内容提要</w:t>
            </w:r>
          </w:p>
        </w:tc>
        <w:tc>
          <w:tcPr>
            <w:tcW w:w="864" w:type="dxa"/>
          </w:tcPr>
          <w:p w:rsidR="00B83196" w:rsidRDefault="003673D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技能</w:t>
            </w:r>
          </w:p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类型</w:t>
            </w:r>
          </w:p>
        </w:tc>
        <w:tc>
          <w:tcPr>
            <w:tcW w:w="780" w:type="dxa"/>
          </w:tcPr>
          <w:p w:rsidR="00B83196" w:rsidRDefault="003673D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考查</w:t>
            </w:r>
          </w:p>
          <w:p w:rsidR="00B83196" w:rsidRDefault="003673D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周次</w:t>
            </w:r>
          </w:p>
        </w:tc>
        <w:tc>
          <w:tcPr>
            <w:tcW w:w="720" w:type="dxa"/>
          </w:tcPr>
          <w:p w:rsidR="00B83196" w:rsidRDefault="003673D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所占</w:t>
            </w:r>
          </w:p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比重</w:t>
            </w:r>
          </w:p>
        </w:tc>
        <w:tc>
          <w:tcPr>
            <w:tcW w:w="732" w:type="dxa"/>
          </w:tcPr>
          <w:p w:rsidR="00B83196" w:rsidRDefault="003673D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完成形式</w:t>
            </w:r>
          </w:p>
        </w:tc>
      </w:tr>
      <w:tr w:rsidR="00B83196">
        <w:tc>
          <w:tcPr>
            <w:tcW w:w="741" w:type="dxa"/>
          </w:tcPr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476" w:type="dxa"/>
            <w:vAlign w:val="center"/>
          </w:tcPr>
          <w:p w:rsidR="00B83196" w:rsidRDefault="003673DE">
            <w:pPr>
              <w:spacing w:after="5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语言样本分析</w:t>
            </w:r>
          </w:p>
        </w:tc>
        <w:tc>
          <w:tcPr>
            <w:tcW w:w="4514" w:type="dxa"/>
            <w:vAlign w:val="center"/>
          </w:tcPr>
          <w:p w:rsidR="00B83196" w:rsidRDefault="003673DE">
            <w:pPr>
              <w:spacing w:after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在自然情境中收集个案语言样本，并进行初步整理。分析儿童语言样本中所表现处理的语音、语法、语义、语用特征，计算MLU和词汇量。</w:t>
            </w:r>
          </w:p>
        </w:tc>
        <w:tc>
          <w:tcPr>
            <w:tcW w:w="864" w:type="dxa"/>
          </w:tcPr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单项、演示</w:t>
            </w:r>
          </w:p>
        </w:tc>
        <w:tc>
          <w:tcPr>
            <w:tcW w:w="780" w:type="dxa"/>
          </w:tcPr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11</w:t>
            </w:r>
          </w:p>
        </w:tc>
        <w:tc>
          <w:tcPr>
            <w:tcW w:w="720" w:type="dxa"/>
          </w:tcPr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10%</w:t>
            </w:r>
          </w:p>
        </w:tc>
        <w:tc>
          <w:tcPr>
            <w:tcW w:w="732" w:type="dxa"/>
          </w:tcPr>
          <w:p w:rsidR="00B83196" w:rsidRDefault="003673D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小组</w:t>
            </w:r>
          </w:p>
        </w:tc>
      </w:tr>
      <w:tr w:rsidR="00B83196">
        <w:tc>
          <w:tcPr>
            <w:tcW w:w="741" w:type="dxa"/>
          </w:tcPr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B83196" w:rsidRDefault="003673DE">
            <w:pPr>
              <w:spacing w:after="5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语言治疗评估</w:t>
            </w:r>
          </w:p>
        </w:tc>
        <w:tc>
          <w:tcPr>
            <w:tcW w:w="4514" w:type="dxa"/>
            <w:vAlign w:val="center"/>
          </w:tcPr>
          <w:p w:rsidR="00B83196" w:rsidRDefault="003673DE">
            <w:pPr>
              <w:spacing w:after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利用林丽英老师修订的《身心障礙學生特殊教育語言治療評估表》评估个案感官知觉、语言理解、语言表达、沟通方式与效度、口腔动作与功能、是否使用辅具等方面，并撰写评估报告。</w:t>
            </w:r>
          </w:p>
        </w:tc>
        <w:tc>
          <w:tcPr>
            <w:tcW w:w="864" w:type="dxa"/>
          </w:tcPr>
          <w:p w:rsidR="00B83196" w:rsidRDefault="003673D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单项、演示</w:t>
            </w:r>
          </w:p>
        </w:tc>
        <w:tc>
          <w:tcPr>
            <w:tcW w:w="780" w:type="dxa"/>
          </w:tcPr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7</w:t>
            </w:r>
          </w:p>
        </w:tc>
        <w:tc>
          <w:tcPr>
            <w:tcW w:w="720" w:type="dxa"/>
          </w:tcPr>
          <w:p w:rsidR="00B83196" w:rsidRDefault="003673D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10%</w:t>
            </w:r>
          </w:p>
        </w:tc>
        <w:tc>
          <w:tcPr>
            <w:tcW w:w="732" w:type="dxa"/>
          </w:tcPr>
          <w:p w:rsidR="00B83196" w:rsidRDefault="003673D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小组</w:t>
            </w:r>
          </w:p>
        </w:tc>
      </w:tr>
      <w:tr w:rsidR="00B83196">
        <w:tc>
          <w:tcPr>
            <w:tcW w:w="741" w:type="dxa"/>
          </w:tcPr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3</w:t>
            </w:r>
          </w:p>
        </w:tc>
        <w:tc>
          <w:tcPr>
            <w:tcW w:w="1476" w:type="dxa"/>
            <w:vAlign w:val="center"/>
          </w:tcPr>
          <w:p w:rsidR="00B83196" w:rsidRDefault="003673DE">
            <w:pPr>
              <w:spacing w:after="5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</w:t>
            </w:r>
          </w:p>
        </w:tc>
        <w:tc>
          <w:tcPr>
            <w:tcW w:w="4514" w:type="dxa"/>
            <w:vAlign w:val="center"/>
          </w:tcPr>
          <w:p w:rsidR="00B83196" w:rsidRDefault="003673DE">
            <w:pPr>
              <w:spacing w:after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语言治疗与生活语文之间的关系</w:t>
            </w:r>
          </w:p>
        </w:tc>
        <w:tc>
          <w:tcPr>
            <w:tcW w:w="864" w:type="dxa"/>
          </w:tcPr>
          <w:p w:rsidR="00B83196" w:rsidRDefault="003673D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单项、演示</w:t>
            </w:r>
          </w:p>
        </w:tc>
        <w:tc>
          <w:tcPr>
            <w:tcW w:w="780" w:type="dxa"/>
          </w:tcPr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720" w:type="dxa"/>
          </w:tcPr>
          <w:p w:rsidR="00B83196" w:rsidRDefault="003673D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10%</w:t>
            </w:r>
          </w:p>
        </w:tc>
        <w:tc>
          <w:tcPr>
            <w:tcW w:w="732" w:type="dxa"/>
          </w:tcPr>
          <w:p w:rsidR="00B83196" w:rsidRDefault="003673D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个人</w:t>
            </w:r>
          </w:p>
        </w:tc>
      </w:tr>
      <w:tr w:rsidR="00B83196">
        <w:tc>
          <w:tcPr>
            <w:tcW w:w="741" w:type="dxa"/>
          </w:tcPr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476" w:type="dxa"/>
            <w:vAlign w:val="center"/>
          </w:tcPr>
          <w:p w:rsidR="00B83196" w:rsidRDefault="003673DE">
            <w:pPr>
              <w:spacing w:after="5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沟通版面设计与使用（AAC）</w:t>
            </w:r>
          </w:p>
        </w:tc>
        <w:tc>
          <w:tcPr>
            <w:tcW w:w="4514" w:type="dxa"/>
            <w:vAlign w:val="center"/>
          </w:tcPr>
          <w:p w:rsidR="00B83196" w:rsidRDefault="003673DE">
            <w:pPr>
              <w:spacing w:after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结合个案的需求，设计特定情境中个案所需的沟通版面。并介绍使用的功能。</w:t>
            </w:r>
          </w:p>
        </w:tc>
        <w:tc>
          <w:tcPr>
            <w:tcW w:w="864" w:type="dxa"/>
          </w:tcPr>
          <w:p w:rsidR="00B83196" w:rsidRDefault="003673D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单项、演示</w:t>
            </w:r>
          </w:p>
        </w:tc>
        <w:tc>
          <w:tcPr>
            <w:tcW w:w="780" w:type="dxa"/>
          </w:tcPr>
          <w:p w:rsidR="00B83196" w:rsidRDefault="003673D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13</w:t>
            </w:r>
          </w:p>
        </w:tc>
        <w:tc>
          <w:tcPr>
            <w:tcW w:w="720" w:type="dxa"/>
          </w:tcPr>
          <w:p w:rsidR="00B83196" w:rsidRDefault="003673D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10%</w:t>
            </w:r>
          </w:p>
        </w:tc>
        <w:tc>
          <w:tcPr>
            <w:tcW w:w="732" w:type="dxa"/>
          </w:tcPr>
          <w:p w:rsidR="00B83196" w:rsidRDefault="003673D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个人</w:t>
            </w:r>
          </w:p>
        </w:tc>
      </w:tr>
      <w:tr w:rsidR="00B83196">
        <w:tc>
          <w:tcPr>
            <w:tcW w:w="741" w:type="dxa"/>
          </w:tcPr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1476" w:type="dxa"/>
            <w:vAlign w:val="center"/>
          </w:tcPr>
          <w:p w:rsidR="00B83196" w:rsidRDefault="003673DE">
            <w:pPr>
              <w:spacing w:after="5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PECS的制作与使用（AAC）</w:t>
            </w:r>
          </w:p>
        </w:tc>
        <w:tc>
          <w:tcPr>
            <w:tcW w:w="4514" w:type="dxa"/>
            <w:vAlign w:val="center"/>
          </w:tcPr>
          <w:p w:rsidR="00B83196" w:rsidRDefault="003673DE">
            <w:pPr>
              <w:spacing w:after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AAC需求的评估，PECS的制作，以及教学流程等</w:t>
            </w:r>
          </w:p>
        </w:tc>
        <w:tc>
          <w:tcPr>
            <w:tcW w:w="864" w:type="dxa"/>
          </w:tcPr>
          <w:p w:rsidR="00B83196" w:rsidRDefault="003673D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单项、演示</w:t>
            </w:r>
          </w:p>
        </w:tc>
        <w:tc>
          <w:tcPr>
            <w:tcW w:w="780" w:type="dxa"/>
          </w:tcPr>
          <w:p w:rsidR="00B83196" w:rsidRDefault="003673D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15</w:t>
            </w:r>
          </w:p>
        </w:tc>
        <w:tc>
          <w:tcPr>
            <w:tcW w:w="720" w:type="dxa"/>
          </w:tcPr>
          <w:p w:rsidR="00B83196" w:rsidRDefault="003673D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10%</w:t>
            </w:r>
          </w:p>
        </w:tc>
        <w:tc>
          <w:tcPr>
            <w:tcW w:w="732" w:type="dxa"/>
          </w:tcPr>
          <w:p w:rsidR="00B83196" w:rsidRDefault="003673D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个人</w:t>
            </w:r>
          </w:p>
        </w:tc>
      </w:tr>
    </w:tbl>
    <w:p w:rsidR="00B83196" w:rsidRDefault="00B83196">
      <w:pPr>
        <w:spacing w:line="360" w:lineRule="auto"/>
        <w:rPr>
          <w:rFonts w:ascii="宋体" w:hAnsi="宋体"/>
          <w:sz w:val="24"/>
        </w:rPr>
      </w:pPr>
    </w:p>
    <w:p w:rsidR="00B83196" w:rsidRDefault="003673D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期末技能考核内容：</w:t>
      </w:r>
    </w:p>
    <w:tbl>
      <w:tblPr>
        <w:tblStyle w:val="a5"/>
        <w:tblW w:w="9827" w:type="dxa"/>
        <w:tblLayout w:type="fixed"/>
        <w:tblLook w:val="04A0"/>
      </w:tblPr>
      <w:tblGrid>
        <w:gridCol w:w="741"/>
        <w:gridCol w:w="2390"/>
        <w:gridCol w:w="3780"/>
        <w:gridCol w:w="744"/>
        <w:gridCol w:w="720"/>
        <w:gridCol w:w="696"/>
        <w:gridCol w:w="756"/>
      </w:tblGrid>
      <w:tr w:rsidR="00B83196">
        <w:tc>
          <w:tcPr>
            <w:tcW w:w="741" w:type="dxa"/>
          </w:tcPr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390" w:type="dxa"/>
          </w:tcPr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3780" w:type="dxa"/>
          </w:tcPr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内容提要</w:t>
            </w:r>
          </w:p>
        </w:tc>
        <w:tc>
          <w:tcPr>
            <w:tcW w:w="744" w:type="dxa"/>
          </w:tcPr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技能类型</w:t>
            </w:r>
          </w:p>
        </w:tc>
        <w:tc>
          <w:tcPr>
            <w:tcW w:w="720" w:type="dxa"/>
          </w:tcPr>
          <w:p w:rsidR="00B83196" w:rsidRDefault="003673D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考查周次</w:t>
            </w:r>
          </w:p>
        </w:tc>
        <w:tc>
          <w:tcPr>
            <w:tcW w:w="696" w:type="dxa"/>
          </w:tcPr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所占比重</w:t>
            </w:r>
          </w:p>
        </w:tc>
        <w:tc>
          <w:tcPr>
            <w:tcW w:w="756" w:type="dxa"/>
          </w:tcPr>
          <w:p w:rsidR="00B83196" w:rsidRDefault="003673D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完成形式</w:t>
            </w:r>
          </w:p>
        </w:tc>
      </w:tr>
      <w:tr w:rsidR="00B83196">
        <w:tc>
          <w:tcPr>
            <w:tcW w:w="741" w:type="dxa"/>
          </w:tcPr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390" w:type="dxa"/>
            <w:vAlign w:val="center"/>
          </w:tcPr>
          <w:p w:rsidR="00B83196" w:rsidRDefault="003673DE">
            <w:pPr>
              <w:spacing w:after="5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特殊儿童语言治疗实作</w:t>
            </w:r>
          </w:p>
        </w:tc>
        <w:tc>
          <w:tcPr>
            <w:tcW w:w="3780" w:type="dxa"/>
            <w:vAlign w:val="center"/>
          </w:tcPr>
          <w:p w:rsidR="00B83196" w:rsidRDefault="003673DE">
            <w:pPr>
              <w:numPr>
                <w:ilvl w:val="0"/>
                <w:numId w:val="3"/>
              </w:numPr>
              <w:spacing w:after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个案案例报告</w:t>
            </w:r>
          </w:p>
          <w:p w:rsidR="00B83196" w:rsidRDefault="003673DE">
            <w:pPr>
              <w:numPr>
                <w:ilvl w:val="0"/>
                <w:numId w:val="3"/>
              </w:numPr>
              <w:spacing w:after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IEP</w:t>
            </w:r>
          </w:p>
          <w:p w:rsidR="00B83196" w:rsidRDefault="003673DE">
            <w:pPr>
              <w:numPr>
                <w:ilvl w:val="0"/>
                <w:numId w:val="3"/>
              </w:numPr>
              <w:spacing w:after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某一节课的教案</w:t>
            </w:r>
          </w:p>
        </w:tc>
        <w:tc>
          <w:tcPr>
            <w:tcW w:w="744" w:type="dxa"/>
          </w:tcPr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综合</w:t>
            </w:r>
          </w:p>
        </w:tc>
        <w:tc>
          <w:tcPr>
            <w:tcW w:w="720" w:type="dxa"/>
          </w:tcPr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16-17</w:t>
            </w:r>
          </w:p>
        </w:tc>
        <w:tc>
          <w:tcPr>
            <w:tcW w:w="696" w:type="dxa"/>
          </w:tcPr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50%</w:t>
            </w:r>
          </w:p>
        </w:tc>
        <w:tc>
          <w:tcPr>
            <w:tcW w:w="756" w:type="dxa"/>
          </w:tcPr>
          <w:p w:rsidR="00B83196" w:rsidRDefault="003673D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小组</w:t>
            </w:r>
          </w:p>
        </w:tc>
      </w:tr>
    </w:tbl>
    <w:p w:rsidR="00B83196" w:rsidRDefault="00B83196">
      <w:pPr>
        <w:spacing w:line="360" w:lineRule="auto"/>
        <w:rPr>
          <w:rFonts w:ascii="宋体" w:hAnsi="宋体"/>
          <w:sz w:val="24"/>
        </w:rPr>
      </w:pPr>
    </w:p>
    <w:p w:rsidR="00B83196" w:rsidRDefault="003673DE">
      <w:pPr>
        <w:spacing w:line="360" w:lineRule="auto"/>
        <w:rPr>
          <w:rFonts w:ascii="仿宋_GB2312" w:eastAsia="仿宋_GB2312"/>
          <w:sz w:val="24"/>
        </w:rPr>
      </w:pPr>
      <w:r>
        <w:rPr>
          <w:rFonts w:ascii="黑体" w:eastAsia="黑体" w:hint="eastAsia"/>
          <w:sz w:val="24"/>
        </w:rPr>
        <w:t>三、考试组织</w:t>
      </w:r>
    </w:p>
    <w:p w:rsidR="00B83196" w:rsidRDefault="003673DE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1、作业和考核形式：在开学之初，对班上62名学生进行分组，分为1</w:t>
      </w:r>
      <w:r w:rsidR="00863D90">
        <w:rPr>
          <w:rFonts w:ascii="宋体" w:hAnsi="宋体" w:cs="宋体" w:hint="eastAsia"/>
          <w:sz w:val="24"/>
        </w:rPr>
        <w:t>7</w:t>
      </w:r>
      <w:r>
        <w:rPr>
          <w:rFonts w:ascii="宋体" w:hAnsi="宋体" w:cs="宋体" w:hint="eastAsia"/>
          <w:sz w:val="24"/>
        </w:rPr>
        <w:t>个小组，每个组4人。有的考核需要小组合作完成，有的需要独自完成。</w:t>
      </w:r>
    </w:p>
    <w:p w:rsidR="00B83196" w:rsidRDefault="003673DE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2、平时考察：考查的形式、内容与要求以及所占比重详见考试内容安排</w:t>
      </w:r>
    </w:p>
    <w:p w:rsidR="00B83196" w:rsidRDefault="003673DE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3、期末技能考核：考查的形式、内容与要求以及所占比重详见考试内容安排</w:t>
      </w:r>
    </w:p>
    <w:p w:rsidR="00B83196" w:rsidRDefault="003673DE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4、考试内容安排</w:t>
      </w:r>
    </w:p>
    <w:p w:rsidR="00B83196" w:rsidRDefault="003673DE">
      <w:pPr>
        <w:spacing w:line="500" w:lineRule="exact"/>
        <w:ind w:firstLineChars="1200" w:firstLine="2880"/>
        <w:rPr>
          <w:sz w:val="24"/>
        </w:rPr>
      </w:pPr>
      <w:proofErr w:type="gramStart"/>
      <w:r>
        <w:rPr>
          <w:rFonts w:hint="eastAsia"/>
          <w:sz w:val="24"/>
        </w:rPr>
        <w:t>一</w:t>
      </w:r>
      <w:proofErr w:type="gramEnd"/>
      <w:r>
        <w:rPr>
          <w:rFonts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语言样本分析</w:t>
      </w:r>
    </w:p>
    <w:p w:rsidR="00B83196" w:rsidRDefault="003673DE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、目的要求：掌握语言样本分析法的流程并能撰写评估报告</w:t>
      </w:r>
    </w:p>
    <w:p w:rsidR="00B83196" w:rsidRDefault="003673DE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、实验内容：</w:t>
      </w:r>
    </w:p>
    <w:p w:rsidR="00B83196" w:rsidRDefault="003673DE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）收集儿童自然情景中的语言样本，并整理；</w:t>
      </w:r>
    </w:p>
    <w:p w:rsidR="00B83196" w:rsidRDefault="003673DE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）分析语言样本中所体现的有关语音、语法、语义、语用等特点，并分析可能的原因；</w:t>
      </w:r>
    </w:p>
    <w:p w:rsidR="00B83196" w:rsidRDefault="003673DE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）计算</w:t>
      </w:r>
      <w:proofErr w:type="gramStart"/>
      <w:r>
        <w:rPr>
          <w:rFonts w:hint="eastAsia"/>
          <w:sz w:val="24"/>
        </w:rPr>
        <w:t>平均句长和</w:t>
      </w:r>
      <w:proofErr w:type="gramEnd"/>
      <w:r>
        <w:rPr>
          <w:rFonts w:hint="eastAsia"/>
          <w:sz w:val="24"/>
        </w:rPr>
        <w:t>词汇量；</w:t>
      </w:r>
    </w:p>
    <w:p w:rsidR="00B83196" w:rsidRDefault="003673DE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）撰写评估报告。</w:t>
      </w:r>
    </w:p>
    <w:p w:rsidR="00B83196" w:rsidRDefault="003673DE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、主要仪器设备及药品</w:t>
      </w:r>
    </w:p>
    <w:p w:rsidR="00B83196" w:rsidRDefault="003673DE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摄像机或录音笔、电脑、儿童观察记录表等</w:t>
      </w:r>
    </w:p>
    <w:p w:rsidR="00B83196" w:rsidRDefault="003673DE">
      <w:pPr>
        <w:spacing w:line="500" w:lineRule="exact"/>
        <w:ind w:firstLineChars="1200" w:firstLine="2880"/>
        <w:rPr>
          <w:sz w:val="24"/>
        </w:rPr>
      </w:pPr>
      <w:r>
        <w:rPr>
          <w:rFonts w:hint="eastAsia"/>
          <w:sz w:val="24"/>
        </w:rPr>
        <w:lastRenderedPageBreak/>
        <w:t>二</w:t>
      </w:r>
      <w:r>
        <w:rPr>
          <w:rFonts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语言治疗评估</w:t>
      </w:r>
    </w:p>
    <w:p w:rsidR="00B83196" w:rsidRDefault="003673DE">
      <w:pPr>
        <w:numPr>
          <w:ilvl w:val="0"/>
          <w:numId w:val="4"/>
        </w:num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目的要求：掌握利用评估表评估儿童语言发展的技能</w:t>
      </w:r>
    </w:p>
    <w:p w:rsidR="00B83196" w:rsidRDefault="003673DE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、实验内容：</w:t>
      </w:r>
    </w:p>
    <w:p w:rsidR="00B83196" w:rsidRDefault="003673DE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ascii="宋体" w:hAnsi="宋体" w:hint="eastAsia"/>
          <w:sz w:val="24"/>
        </w:rPr>
        <w:t>评估个案感官知觉、语言理解、语言表达、沟通方式与效度、口腔动作与功能、是否使用辅具等方面的优势和需求；</w:t>
      </w:r>
    </w:p>
    <w:p w:rsidR="00B83196" w:rsidRDefault="003673DE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（2）撰写评估报告</w:t>
      </w:r>
    </w:p>
    <w:p w:rsidR="00B83196" w:rsidRDefault="003673DE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、主要仪器设备及药品</w:t>
      </w:r>
    </w:p>
    <w:p w:rsidR="00B83196" w:rsidRDefault="003673DE">
      <w:pPr>
        <w:spacing w:line="50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《身心障碍学生特殊教育语言治疗评估表》等材料</w:t>
      </w:r>
    </w:p>
    <w:p w:rsidR="00B83196" w:rsidRDefault="003673DE">
      <w:pPr>
        <w:spacing w:line="500" w:lineRule="exact"/>
        <w:ind w:firstLineChars="1200" w:firstLine="2880"/>
        <w:rPr>
          <w:sz w:val="24"/>
        </w:rPr>
      </w:pPr>
      <w:r>
        <w:rPr>
          <w:rFonts w:hint="eastAsia"/>
          <w:sz w:val="24"/>
        </w:rPr>
        <w:t>三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学科</w:t>
      </w:r>
      <w:r>
        <w:rPr>
          <w:rFonts w:ascii="宋体" w:hAnsi="宋体" w:hint="eastAsia"/>
          <w:sz w:val="24"/>
        </w:rPr>
        <w:t>论文</w:t>
      </w:r>
    </w:p>
    <w:p w:rsidR="00B83196" w:rsidRDefault="003673DE">
      <w:pPr>
        <w:numPr>
          <w:ilvl w:val="0"/>
          <w:numId w:val="5"/>
        </w:num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目的要求：论文语言治疗与生活语言的关系</w:t>
      </w:r>
    </w:p>
    <w:p w:rsidR="00B83196" w:rsidRDefault="003673DE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、实验内容：</w:t>
      </w:r>
    </w:p>
    <w:p w:rsidR="00B83196" w:rsidRDefault="003673DE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）定义、职能</w:t>
      </w:r>
    </w:p>
    <w:p w:rsidR="00B83196" w:rsidRDefault="003673DE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（2）关系分析</w:t>
      </w:r>
    </w:p>
    <w:p w:rsidR="00B83196" w:rsidRDefault="003673DE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（3）如何支持协助</w:t>
      </w:r>
    </w:p>
    <w:p w:rsidR="00B83196" w:rsidRDefault="003673DE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、主要仪器设备及药品</w:t>
      </w:r>
    </w:p>
    <w:p w:rsidR="00B83196" w:rsidRDefault="003673DE">
      <w:pPr>
        <w:spacing w:line="500" w:lineRule="exact"/>
        <w:ind w:firstLineChars="300" w:firstLine="72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无</w:t>
      </w:r>
    </w:p>
    <w:p w:rsidR="00B83196" w:rsidRDefault="003673DE">
      <w:pPr>
        <w:spacing w:line="500" w:lineRule="exact"/>
        <w:ind w:firstLineChars="1200" w:firstLine="2880"/>
        <w:rPr>
          <w:sz w:val="24"/>
        </w:rPr>
      </w:pPr>
      <w:r>
        <w:rPr>
          <w:rFonts w:hint="eastAsia"/>
          <w:sz w:val="24"/>
        </w:rPr>
        <w:t>四</w:t>
      </w:r>
      <w:r>
        <w:rPr>
          <w:rFonts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沟通版面的设计与使用</w:t>
      </w:r>
    </w:p>
    <w:p w:rsidR="00B83196" w:rsidRDefault="003673DE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、目的要求：掌握</w:t>
      </w:r>
      <w:r>
        <w:rPr>
          <w:rFonts w:hint="eastAsia"/>
          <w:sz w:val="24"/>
        </w:rPr>
        <w:t>AAC</w:t>
      </w:r>
      <w:r>
        <w:rPr>
          <w:rFonts w:hint="eastAsia"/>
          <w:sz w:val="24"/>
        </w:rPr>
        <w:t>的基础理论，并设计和制作固沟通版面的技能。</w:t>
      </w:r>
    </w:p>
    <w:p w:rsidR="00B83196" w:rsidRDefault="003673DE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、实验内容：</w:t>
      </w:r>
    </w:p>
    <w:p w:rsidR="00B83196" w:rsidRDefault="003673DE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）沟通版面的设计；</w:t>
      </w:r>
    </w:p>
    <w:p w:rsidR="00B83196" w:rsidRDefault="003673DE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（2）沟通版面的制作；</w:t>
      </w:r>
    </w:p>
    <w:p w:rsidR="00B83196" w:rsidRDefault="003673DE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（2）沟通版面的使用演示。</w:t>
      </w:r>
    </w:p>
    <w:p w:rsidR="00B83196" w:rsidRDefault="003673DE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、主要仪器设备及药品</w:t>
      </w:r>
    </w:p>
    <w:p w:rsidR="00B83196" w:rsidRDefault="003673DE">
      <w:pPr>
        <w:spacing w:line="500" w:lineRule="exact"/>
        <w:ind w:firstLineChars="200" w:firstLine="480"/>
        <w:rPr>
          <w:sz w:val="24"/>
        </w:rPr>
      </w:pPr>
      <w:r>
        <w:rPr>
          <w:rFonts w:ascii="宋体" w:eastAsia="宋体" w:hAnsi="宋体" w:hint="eastAsia"/>
          <w:sz w:val="24"/>
        </w:rPr>
        <w:t>电脑、剪刀、彩色打印机、彩笔、KT板等材料</w:t>
      </w:r>
    </w:p>
    <w:p w:rsidR="00B83196" w:rsidRDefault="003673DE">
      <w:pPr>
        <w:spacing w:line="500" w:lineRule="exact"/>
        <w:ind w:firstLineChars="1200" w:firstLine="2880"/>
        <w:rPr>
          <w:sz w:val="24"/>
        </w:rPr>
      </w:pPr>
      <w:r>
        <w:rPr>
          <w:rFonts w:hint="eastAsia"/>
          <w:sz w:val="24"/>
        </w:rPr>
        <w:t>五</w:t>
      </w:r>
      <w:r>
        <w:rPr>
          <w:rFonts w:ascii="宋体" w:hAnsi="宋体" w:hint="eastAsia"/>
          <w:sz w:val="24"/>
        </w:rPr>
        <w:t xml:space="preserve">PECS的制作和使用 </w:t>
      </w:r>
    </w:p>
    <w:p w:rsidR="00B83196" w:rsidRDefault="003673DE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、目的要求：掌握</w:t>
      </w:r>
      <w:r>
        <w:rPr>
          <w:rFonts w:hint="eastAsia"/>
          <w:sz w:val="24"/>
        </w:rPr>
        <w:t>PECS</w:t>
      </w:r>
      <w:r>
        <w:rPr>
          <w:rFonts w:hint="eastAsia"/>
          <w:sz w:val="24"/>
        </w:rPr>
        <w:t>使用的评估、制作、教学六步骤等基本技能。</w:t>
      </w:r>
    </w:p>
    <w:p w:rsidR="00B83196" w:rsidRDefault="003673DE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、实验内容：</w:t>
      </w:r>
    </w:p>
    <w:p w:rsidR="00B83196" w:rsidRDefault="003673DE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）使用</w:t>
      </w:r>
      <w:r>
        <w:rPr>
          <w:rFonts w:hint="eastAsia"/>
          <w:sz w:val="24"/>
        </w:rPr>
        <w:t>PECS</w:t>
      </w:r>
      <w:r>
        <w:rPr>
          <w:rFonts w:hint="eastAsia"/>
          <w:sz w:val="24"/>
        </w:rPr>
        <w:t>的需求和能力评估、强化物调查；</w:t>
      </w:r>
    </w:p>
    <w:p w:rsidR="00B83196" w:rsidRDefault="003673DE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（2）PECS教学六步骤的基本要求和注意事项；</w:t>
      </w:r>
    </w:p>
    <w:p w:rsidR="00B83196" w:rsidRDefault="003673DE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（2）图卡以及沟通簿的制作和编制原则。</w:t>
      </w:r>
    </w:p>
    <w:p w:rsidR="00B83196" w:rsidRDefault="003673DE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、主要仪器设备及药品</w:t>
      </w:r>
    </w:p>
    <w:p w:rsidR="00B83196" w:rsidRDefault="003673DE">
      <w:pPr>
        <w:spacing w:line="500" w:lineRule="exact"/>
        <w:ind w:firstLineChars="200" w:firstLine="480"/>
        <w:rPr>
          <w:sz w:val="24"/>
        </w:rPr>
      </w:pPr>
      <w:r>
        <w:rPr>
          <w:rFonts w:ascii="宋体" w:eastAsia="宋体" w:hAnsi="宋体" w:hint="eastAsia"/>
          <w:sz w:val="24"/>
        </w:rPr>
        <w:t>电脑、剪刀、彩色打印机、彩笔、KT板、强化物、摄像机等材料</w:t>
      </w:r>
    </w:p>
    <w:p w:rsidR="00B83196" w:rsidRDefault="003673DE">
      <w:pPr>
        <w:spacing w:line="360" w:lineRule="auto"/>
        <w:ind w:firstLineChars="1300" w:firstLine="31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六 特殊儿童语言治疗实作（期末）</w:t>
      </w:r>
    </w:p>
    <w:p w:rsidR="00B83196" w:rsidRPr="00507D12" w:rsidRDefault="003673DE">
      <w:pPr>
        <w:spacing w:line="500" w:lineRule="exact"/>
        <w:ind w:firstLineChars="200" w:firstLine="480"/>
        <w:rPr>
          <w:rFonts w:asciiTheme="minorEastAsia" w:hAnsiTheme="minorEastAsia"/>
          <w:sz w:val="24"/>
        </w:rPr>
      </w:pPr>
      <w:r w:rsidRPr="00507D12">
        <w:rPr>
          <w:rFonts w:asciiTheme="minorEastAsia" w:hAnsiTheme="minorEastAsia" w:hint="eastAsia"/>
          <w:sz w:val="24"/>
        </w:rPr>
        <w:t>1、目的要求：掌握特殊儿童语言治疗操作的整个流程以及相关核心技能。</w:t>
      </w:r>
    </w:p>
    <w:p w:rsidR="00507D12" w:rsidRPr="00507D12" w:rsidRDefault="003673DE" w:rsidP="00507D12">
      <w:pPr>
        <w:spacing w:line="500" w:lineRule="exact"/>
        <w:ind w:firstLineChars="200" w:firstLine="480"/>
        <w:rPr>
          <w:rFonts w:asciiTheme="minorEastAsia" w:hAnsiTheme="minorEastAsia"/>
          <w:sz w:val="24"/>
        </w:rPr>
      </w:pPr>
      <w:r w:rsidRPr="00507D12">
        <w:rPr>
          <w:rFonts w:asciiTheme="minorEastAsia" w:hAnsiTheme="minorEastAsia" w:hint="eastAsia"/>
          <w:sz w:val="24"/>
        </w:rPr>
        <w:t>2、实验内容：</w:t>
      </w:r>
    </w:p>
    <w:p w:rsidR="00507D12" w:rsidRPr="00507D12" w:rsidRDefault="00507D12" w:rsidP="00507D12">
      <w:pPr>
        <w:spacing w:line="500" w:lineRule="exact"/>
        <w:ind w:firstLineChars="200" w:firstLine="480"/>
        <w:rPr>
          <w:rFonts w:asciiTheme="minorEastAsia" w:hAnsiTheme="minorEastAsia" w:cs="宋体"/>
          <w:sz w:val="24"/>
        </w:rPr>
      </w:pPr>
      <w:r w:rsidRPr="00507D12">
        <w:rPr>
          <w:rFonts w:asciiTheme="minorEastAsia" w:hAnsiTheme="minorEastAsia" w:hint="eastAsia"/>
          <w:sz w:val="24"/>
        </w:rPr>
        <w:t>（1）</w:t>
      </w:r>
      <w:r w:rsidRPr="00507D12">
        <w:rPr>
          <w:rFonts w:asciiTheme="minorEastAsia" w:hAnsiTheme="minorEastAsia" w:cs="宋体" w:hint="eastAsia"/>
          <w:sz w:val="24"/>
        </w:rPr>
        <w:t>个案案例报告(30分)</w:t>
      </w:r>
    </w:p>
    <w:p w:rsidR="00507D12" w:rsidRPr="00507D12" w:rsidRDefault="00507D12" w:rsidP="00507D12">
      <w:pPr>
        <w:spacing w:after="50"/>
        <w:ind w:firstLineChars="200" w:firstLine="480"/>
        <w:rPr>
          <w:rFonts w:asciiTheme="minorEastAsia" w:hAnsiTheme="minorEastAsia" w:cs="宋体"/>
          <w:sz w:val="24"/>
        </w:rPr>
      </w:pPr>
      <w:r w:rsidRPr="00507D12">
        <w:rPr>
          <w:rFonts w:asciiTheme="minorEastAsia" w:hAnsiTheme="minorEastAsia" w:cs="宋体" w:hint="eastAsia"/>
          <w:sz w:val="24"/>
        </w:rPr>
        <w:t>（2）IEP(30分)</w:t>
      </w:r>
    </w:p>
    <w:p w:rsidR="00507D12" w:rsidRPr="00507D12" w:rsidRDefault="00507D12" w:rsidP="00507D12">
      <w:pPr>
        <w:spacing w:after="50"/>
        <w:ind w:firstLineChars="200" w:firstLine="480"/>
        <w:rPr>
          <w:rFonts w:asciiTheme="minorEastAsia" w:hAnsiTheme="minorEastAsia" w:cs="宋体"/>
          <w:sz w:val="24"/>
        </w:rPr>
      </w:pPr>
      <w:r w:rsidRPr="00507D12">
        <w:rPr>
          <w:rFonts w:asciiTheme="minorEastAsia" w:hAnsiTheme="minorEastAsia" w:cs="宋体" w:hint="eastAsia"/>
          <w:sz w:val="24"/>
        </w:rPr>
        <w:t>（3）某一节课的教案(40分)</w:t>
      </w:r>
    </w:p>
    <w:p w:rsidR="00B83196" w:rsidRPr="00507D12" w:rsidRDefault="003673DE">
      <w:pPr>
        <w:spacing w:line="500" w:lineRule="exact"/>
        <w:ind w:firstLineChars="200" w:firstLine="480"/>
        <w:rPr>
          <w:rFonts w:asciiTheme="minorEastAsia" w:hAnsiTheme="minorEastAsia"/>
          <w:sz w:val="24"/>
        </w:rPr>
      </w:pPr>
      <w:r w:rsidRPr="00507D12">
        <w:rPr>
          <w:rFonts w:asciiTheme="minorEastAsia" w:hAnsiTheme="minorEastAsia" w:hint="eastAsia"/>
          <w:sz w:val="24"/>
        </w:rPr>
        <w:t>3、主要仪器设备及药品</w:t>
      </w:r>
    </w:p>
    <w:p w:rsidR="00B83196" w:rsidRPr="00507D12" w:rsidRDefault="003673DE">
      <w:pPr>
        <w:spacing w:line="500" w:lineRule="exact"/>
        <w:ind w:firstLineChars="200" w:firstLine="480"/>
        <w:rPr>
          <w:rFonts w:asciiTheme="minorEastAsia" w:hAnsiTheme="minorEastAsia"/>
          <w:sz w:val="24"/>
        </w:rPr>
      </w:pPr>
      <w:r w:rsidRPr="00507D12">
        <w:rPr>
          <w:rFonts w:asciiTheme="minorEastAsia" w:hAnsiTheme="minorEastAsia" w:hint="eastAsia"/>
          <w:sz w:val="24"/>
        </w:rPr>
        <w:t>评估表、电脑、摄像机、各类教具等材料</w:t>
      </w:r>
    </w:p>
    <w:p w:rsidR="00B83196" w:rsidRDefault="00B83196">
      <w:pPr>
        <w:spacing w:line="360" w:lineRule="auto"/>
        <w:ind w:firstLineChars="1300" w:firstLine="3120"/>
        <w:rPr>
          <w:rFonts w:ascii="宋体" w:hAnsi="宋体"/>
          <w:sz w:val="24"/>
        </w:rPr>
      </w:pPr>
    </w:p>
    <w:p w:rsidR="00B83196" w:rsidRDefault="003673DE">
      <w:pPr>
        <w:spacing w:line="360" w:lineRule="auto"/>
        <w:rPr>
          <w:rFonts w:ascii="宋体" w:hAnsi="宋体"/>
          <w:sz w:val="24"/>
        </w:rPr>
      </w:pPr>
      <w:r>
        <w:rPr>
          <w:rFonts w:ascii="黑体" w:eastAsia="黑体" w:hint="eastAsia"/>
          <w:sz w:val="24"/>
        </w:rPr>
        <w:t>四、评分标准</w:t>
      </w:r>
    </w:p>
    <w:p w:rsidR="00B83196" w:rsidRDefault="003673DE">
      <w:pPr>
        <w:spacing w:line="5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平时考试共计五项作业，每项</w:t>
      </w:r>
      <w:proofErr w:type="gramStart"/>
      <w:r>
        <w:rPr>
          <w:rFonts w:ascii="宋体" w:hAnsi="宋体" w:hint="eastAsia"/>
          <w:bCs/>
          <w:sz w:val="24"/>
        </w:rPr>
        <w:t>作业占</w:t>
      </w:r>
      <w:proofErr w:type="gramEnd"/>
      <w:r>
        <w:rPr>
          <w:rFonts w:ascii="宋体" w:hAnsi="宋体" w:hint="eastAsia"/>
          <w:bCs/>
          <w:sz w:val="24"/>
        </w:rPr>
        <w:t>总成绩的10%，</w:t>
      </w:r>
      <w:r>
        <w:rPr>
          <w:rFonts w:hint="eastAsia"/>
          <w:sz w:val="24"/>
        </w:rPr>
        <w:t>以评估工具操作、评估报告撰写是否规范、版面设计是否科学合理、</w:t>
      </w:r>
      <w:r>
        <w:rPr>
          <w:rFonts w:hint="eastAsia"/>
          <w:sz w:val="24"/>
        </w:rPr>
        <w:t>PECS</w:t>
      </w:r>
      <w:r>
        <w:rPr>
          <w:rFonts w:hint="eastAsia"/>
          <w:sz w:val="24"/>
        </w:rPr>
        <w:t>的教学与制作是否规范等作为主要评价依据，成绩考核采用百分制计算，成绩为</w:t>
      </w:r>
      <w:r>
        <w:rPr>
          <w:rFonts w:hint="eastAsia"/>
          <w:sz w:val="24"/>
        </w:rPr>
        <w:t>60</w:t>
      </w:r>
      <w:r>
        <w:rPr>
          <w:rFonts w:hint="eastAsia"/>
          <w:sz w:val="24"/>
        </w:rPr>
        <w:t>以上为合格。</w:t>
      </w:r>
      <w:r>
        <w:rPr>
          <w:rFonts w:ascii="宋体" w:hAnsi="宋体" w:hint="eastAsia"/>
          <w:bCs/>
          <w:sz w:val="24"/>
        </w:rPr>
        <w:t>平时作业共计占总成绩50%。期末技能</w:t>
      </w:r>
      <w:proofErr w:type="gramStart"/>
      <w:r>
        <w:rPr>
          <w:rFonts w:ascii="宋体" w:hAnsi="宋体" w:hint="eastAsia"/>
          <w:bCs/>
          <w:sz w:val="24"/>
        </w:rPr>
        <w:t>考核占</w:t>
      </w:r>
      <w:proofErr w:type="gramEnd"/>
      <w:r>
        <w:rPr>
          <w:rFonts w:ascii="宋体" w:hAnsi="宋体" w:hint="eastAsia"/>
          <w:bCs/>
          <w:sz w:val="24"/>
        </w:rPr>
        <w:t>总成绩的50%，采用百分制计算，所上交的材料主要是五份：</w:t>
      </w:r>
    </w:p>
    <w:tbl>
      <w:tblPr>
        <w:tblStyle w:val="a5"/>
        <w:tblW w:w="9855" w:type="dxa"/>
        <w:tblLayout w:type="fixed"/>
        <w:tblLook w:val="04A0"/>
      </w:tblPr>
      <w:tblGrid>
        <w:gridCol w:w="1057"/>
        <w:gridCol w:w="3408"/>
        <w:gridCol w:w="5390"/>
      </w:tblGrid>
      <w:tr w:rsidR="00B83196">
        <w:tc>
          <w:tcPr>
            <w:tcW w:w="1057" w:type="dxa"/>
          </w:tcPr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08" w:type="dxa"/>
          </w:tcPr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考核名称</w:t>
            </w:r>
          </w:p>
        </w:tc>
        <w:tc>
          <w:tcPr>
            <w:tcW w:w="5390" w:type="dxa"/>
          </w:tcPr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考核要点与分值</w:t>
            </w:r>
          </w:p>
        </w:tc>
      </w:tr>
      <w:tr w:rsidR="00B83196">
        <w:tc>
          <w:tcPr>
            <w:tcW w:w="1057" w:type="dxa"/>
          </w:tcPr>
          <w:p w:rsidR="00B83196" w:rsidRDefault="003673D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3408" w:type="dxa"/>
            <w:vAlign w:val="center"/>
          </w:tcPr>
          <w:p w:rsidR="00B83196" w:rsidRDefault="003673DE">
            <w:pPr>
              <w:spacing w:after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个案案例报告(30分)</w:t>
            </w:r>
          </w:p>
          <w:p w:rsidR="00B83196" w:rsidRDefault="00B83196">
            <w:pPr>
              <w:spacing w:after="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390" w:type="dxa"/>
            <w:vAlign w:val="center"/>
          </w:tcPr>
          <w:p w:rsidR="00B83196" w:rsidRDefault="003673DE">
            <w:pPr>
              <w:numPr>
                <w:ilvl w:val="0"/>
                <w:numId w:val="6"/>
              </w:numPr>
              <w:spacing w:after="5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个案基本信息（5分）、</w:t>
            </w:r>
          </w:p>
          <w:p w:rsidR="00B83196" w:rsidRDefault="003673DE">
            <w:pPr>
              <w:numPr>
                <w:ilvl w:val="0"/>
                <w:numId w:val="6"/>
              </w:numPr>
              <w:spacing w:after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语言能力的现状与需求（10分）</w:t>
            </w:r>
          </w:p>
          <w:p w:rsidR="00B83196" w:rsidRDefault="003673DE">
            <w:pPr>
              <w:numPr>
                <w:ilvl w:val="0"/>
                <w:numId w:val="6"/>
              </w:numPr>
              <w:spacing w:after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将来的安置与训练计划（10分）</w:t>
            </w:r>
          </w:p>
          <w:p w:rsidR="00B83196" w:rsidRDefault="003673DE">
            <w:pPr>
              <w:numPr>
                <w:ilvl w:val="0"/>
                <w:numId w:val="6"/>
              </w:numPr>
              <w:spacing w:after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评估表原稿记录（5分）</w:t>
            </w:r>
          </w:p>
        </w:tc>
      </w:tr>
      <w:tr w:rsidR="00B83196">
        <w:tc>
          <w:tcPr>
            <w:tcW w:w="1057" w:type="dxa"/>
          </w:tcPr>
          <w:p w:rsidR="00B83196" w:rsidRDefault="003673D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408" w:type="dxa"/>
            <w:vAlign w:val="center"/>
          </w:tcPr>
          <w:p w:rsidR="00B83196" w:rsidRDefault="003673DE">
            <w:pPr>
              <w:spacing w:after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IEP(30分)</w:t>
            </w:r>
          </w:p>
          <w:p w:rsidR="00B83196" w:rsidRDefault="00B83196">
            <w:pPr>
              <w:spacing w:after="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390" w:type="dxa"/>
            <w:vAlign w:val="center"/>
          </w:tcPr>
          <w:p w:rsidR="00B83196" w:rsidRDefault="003673DE">
            <w:pPr>
              <w:numPr>
                <w:ilvl w:val="0"/>
                <w:numId w:val="7"/>
              </w:numPr>
              <w:spacing w:after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至少包含语言理解、语言表达两个长期目标，以及5-10个短期目标，（20分）</w:t>
            </w:r>
          </w:p>
          <w:p w:rsidR="00B83196" w:rsidRDefault="003673DE">
            <w:pPr>
              <w:numPr>
                <w:ilvl w:val="0"/>
                <w:numId w:val="7"/>
              </w:numPr>
              <w:spacing w:after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严格按照IEP简表，完善相应信息（10分）</w:t>
            </w:r>
          </w:p>
        </w:tc>
      </w:tr>
      <w:tr w:rsidR="00B83196">
        <w:tc>
          <w:tcPr>
            <w:tcW w:w="1057" w:type="dxa"/>
          </w:tcPr>
          <w:p w:rsidR="00B83196" w:rsidRDefault="003673D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3408" w:type="dxa"/>
            <w:vAlign w:val="center"/>
          </w:tcPr>
          <w:p w:rsidR="00B83196" w:rsidRDefault="003673DE">
            <w:pPr>
              <w:spacing w:after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某一节课的教案(40分)</w:t>
            </w:r>
          </w:p>
        </w:tc>
        <w:tc>
          <w:tcPr>
            <w:tcW w:w="5390" w:type="dxa"/>
            <w:vAlign w:val="center"/>
          </w:tcPr>
          <w:p w:rsidR="00B83196" w:rsidRDefault="003673DE">
            <w:pPr>
              <w:spacing w:after="50"/>
              <w:rPr>
                <w:rFonts w:ascii="宋体" w:hAnsi="宋体"/>
                <w:sz w:val="24"/>
              </w:rPr>
            </w:pPr>
            <w:bookmarkStart w:id="0" w:name="_GoBack"/>
            <w:r>
              <w:rPr>
                <w:rFonts w:ascii="宋体" w:hAnsi="宋体" w:hint="eastAsia"/>
                <w:sz w:val="24"/>
              </w:rPr>
              <w:t>按照教学活动卡，针对具体行为目标设计教学活动</w:t>
            </w:r>
            <w:bookmarkEnd w:id="0"/>
          </w:p>
        </w:tc>
      </w:tr>
    </w:tbl>
    <w:p w:rsidR="00B83196" w:rsidRDefault="00B83196">
      <w:pPr>
        <w:spacing w:line="500" w:lineRule="exact"/>
        <w:ind w:firstLineChars="200" w:firstLine="480"/>
        <w:rPr>
          <w:rFonts w:ascii="宋体" w:hAnsi="宋体"/>
          <w:bCs/>
          <w:sz w:val="24"/>
        </w:rPr>
      </w:pPr>
    </w:p>
    <w:p w:rsidR="00B83196" w:rsidRDefault="003673DE">
      <w:pPr>
        <w:spacing w:line="360" w:lineRule="auto"/>
        <w:rPr>
          <w:rFonts w:ascii="仿宋_GB2312" w:eastAsia="仿宋_GB2312"/>
          <w:sz w:val="24"/>
        </w:rPr>
      </w:pPr>
      <w:r>
        <w:rPr>
          <w:rFonts w:ascii="黑体" w:eastAsia="黑体" w:hint="eastAsia"/>
          <w:sz w:val="24"/>
        </w:rPr>
        <w:t>五、课程成绩构成及比例</w:t>
      </w:r>
    </w:p>
    <w:p w:rsidR="00B83196" w:rsidRDefault="003673DE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本门考试采用技能考核的形式进行，平时占50%，期末占50%。具体要求和评分标准，详见课程考试内容和安排的表格。</w:t>
      </w:r>
    </w:p>
    <w:p w:rsidR="00B83196" w:rsidRDefault="00B83196">
      <w:pPr>
        <w:spacing w:line="700" w:lineRule="exact"/>
        <w:rPr>
          <w:rFonts w:ascii="楷体_GB2312" w:eastAsia="楷体_GB2312"/>
          <w:sz w:val="28"/>
          <w:szCs w:val="28"/>
        </w:rPr>
      </w:pPr>
    </w:p>
    <w:p w:rsidR="00B83196" w:rsidRDefault="003673DE">
      <w:pPr>
        <w:spacing w:line="700" w:lineRule="exact"/>
        <w:rPr>
          <w:rFonts w:ascii="楷体_GB2312" w:eastAsia="楷体_GB2312"/>
          <w:sz w:val="28"/>
          <w:szCs w:val="28"/>
        </w:rPr>
      </w:pPr>
      <w:r>
        <w:rPr>
          <w:rFonts w:ascii="黑体" w:eastAsia="黑体" w:hint="eastAsia"/>
          <w:sz w:val="32"/>
          <w:szCs w:val="32"/>
        </w:rPr>
        <w:t>教研室审核签字：  分管副院长审核签字：</w:t>
      </w:r>
    </w:p>
    <w:p w:rsidR="00B83196" w:rsidRDefault="003673DE">
      <w:pPr>
        <w:spacing w:line="700" w:lineRule="exact"/>
        <w:ind w:firstLineChars="1400" w:firstLine="4480"/>
      </w:pPr>
      <w:r>
        <w:rPr>
          <w:rFonts w:ascii="黑体" w:eastAsia="黑体" w:hint="eastAsia"/>
          <w:sz w:val="32"/>
          <w:szCs w:val="32"/>
        </w:rPr>
        <w:t xml:space="preserve">             日期：</w:t>
      </w:r>
    </w:p>
    <w:sectPr w:rsidR="00B83196" w:rsidSect="00B83196">
      <w:pgSz w:w="11906" w:h="16838"/>
      <w:pgMar w:top="1418" w:right="849" w:bottom="1276" w:left="1418" w:header="426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D12" w:rsidRDefault="00507D12" w:rsidP="00507D12">
      <w:r>
        <w:separator/>
      </w:r>
    </w:p>
  </w:endnote>
  <w:endnote w:type="continuationSeparator" w:id="0">
    <w:p w:rsidR="00507D12" w:rsidRDefault="00507D12" w:rsidP="00507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D12" w:rsidRDefault="00507D12" w:rsidP="00507D12">
      <w:r>
        <w:separator/>
      </w:r>
    </w:p>
  </w:footnote>
  <w:footnote w:type="continuationSeparator" w:id="0">
    <w:p w:rsidR="00507D12" w:rsidRDefault="00507D12" w:rsidP="00507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21C59A"/>
    <w:multiLevelType w:val="singleLevel"/>
    <w:tmpl w:val="9521C59A"/>
    <w:lvl w:ilvl="0">
      <w:start w:val="1"/>
      <w:numFmt w:val="decimal"/>
      <w:suff w:val="nothing"/>
      <w:lvlText w:val="%1、"/>
      <w:lvlJc w:val="left"/>
    </w:lvl>
  </w:abstractNum>
  <w:abstractNum w:abstractNumId="1">
    <w:nsid w:val="554C8430"/>
    <w:multiLevelType w:val="singleLevel"/>
    <w:tmpl w:val="554C8430"/>
    <w:lvl w:ilvl="0">
      <w:start w:val="2"/>
      <w:numFmt w:val="chineseCounting"/>
      <w:suff w:val="nothing"/>
      <w:lvlText w:val="%1、"/>
      <w:lvlJc w:val="left"/>
    </w:lvl>
  </w:abstractNum>
  <w:abstractNum w:abstractNumId="2">
    <w:nsid w:val="554C85B5"/>
    <w:multiLevelType w:val="singleLevel"/>
    <w:tmpl w:val="554C85B5"/>
    <w:lvl w:ilvl="0">
      <w:start w:val="1"/>
      <w:numFmt w:val="decimal"/>
      <w:suff w:val="nothing"/>
      <w:lvlText w:val="%1、"/>
      <w:lvlJc w:val="left"/>
    </w:lvl>
  </w:abstractNum>
  <w:abstractNum w:abstractNumId="3">
    <w:nsid w:val="59BA65A9"/>
    <w:multiLevelType w:val="singleLevel"/>
    <w:tmpl w:val="59BA65A9"/>
    <w:lvl w:ilvl="0">
      <w:start w:val="1"/>
      <w:numFmt w:val="decimal"/>
      <w:suff w:val="nothing"/>
      <w:lvlText w:val="%1、"/>
      <w:lvlJc w:val="left"/>
    </w:lvl>
  </w:abstractNum>
  <w:abstractNum w:abstractNumId="4">
    <w:nsid w:val="59BFD1C8"/>
    <w:multiLevelType w:val="singleLevel"/>
    <w:tmpl w:val="59BFD1C8"/>
    <w:lvl w:ilvl="0">
      <w:start w:val="1"/>
      <w:numFmt w:val="decimal"/>
      <w:suff w:val="nothing"/>
      <w:lvlText w:val="%1."/>
      <w:lvlJc w:val="left"/>
    </w:lvl>
  </w:abstractNum>
  <w:abstractNum w:abstractNumId="5">
    <w:nsid w:val="59C0020B"/>
    <w:multiLevelType w:val="singleLevel"/>
    <w:tmpl w:val="59C0020B"/>
    <w:lvl w:ilvl="0">
      <w:start w:val="1"/>
      <w:numFmt w:val="decimal"/>
      <w:suff w:val="nothing"/>
      <w:lvlText w:val="%1."/>
      <w:lvlJc w:val="left"/>
    </w:lvl>
  </w:abstractNum>
  <w:abstractNum w:abstractNumId="6">
    <w:nsid w:val="59C002F0"/>
    <w:multiLevelType w:val="singleLevel"/>
    <w:tmpl w:val="59C002F0"/>
    <w:lvl w:ilvl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3FC1C08"/>
    <w:rsid w:val="003673DE"/>
    <w:rsid w:val="0039469E"/>
    <w:rsid w:val="00507D12"/>
    <w:rsid w:val="005A2ED8"/>
    <w:rsid w:val="00863D90"/>
    <w:rsid w:val="00B83196"/>
    <w:rsid w:val="00DB3A6A"/>
    <w:rsid w:val="171F61B3"/>
    <w:rsid w:val="2B6158A7"/>
    <w:rsid w:val="43FC1C08"/>
    <w:rsid w:val="46086ECD"/>
    <w:rsid w:val="6F3F4FF3"/>
    <w:rsid w:val="7B573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19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B831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B8319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B8319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link w:val="a3"/>
    <w:qFormat/>
    <w:rsid w:val="00B8319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2334</Words>
  <Characters>318</Characters>
  <Application>Microsoft Office Word</Application>
  <DocSecurity>0</DocSecurity>
  <Lines>2</Lines>
  <Paragraphs>5</Paragraphs>
  <ScaleCrop>false</ScaleCrop>
  <Company>China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4</cp:revision>
  <dcterms:created xsi:type="dcterms:W3CDTF">2017-09-18T13:33:00Z</dcterms:created>
  <dcterms:modified xsi:type="dcterms:W3CDTF">2018-10-07T08:18:00Z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